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eastAsia="黑体"/>
          <w:sz w:val="32"/>
          <w:szCs w:val="32"/>
        </w:rPr>
      </w:pPr>
    </w:p>
    <w:p>
      <w:pPr>
        <w:spacing w:afterLines="50" w:line="56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修改后继续有效的县政府行政规范性文件目录</w:t>
      </w:r>
    </w:p>
    <w:bookmarkEnd w:id="0"/>
    <w:tbl>
      <w:tblPr>
        <w:tblStyle w:val="5"/>
        <w:tblpPr w:leftFromText="180" w:rightFromText="180" w:vertAnchor="text" w:horzAnchor="page" w:tblpX="2054" w:tblpY="333"/>
        <w:tblOverlap w:val="never"/>
        <w:tblW w:w="13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327"/>
        <w:gridCol w:w="1020"/>
        <w:gridCol w:w="742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bCs/>
                <w:sz w:val="24"/>
              </w:rPr>
            </w:pPr>
            <w:r>
              <w:rPr>
                <w:rFonts w:hint="eastAsia" w:eastAsia="黑体" w:cs="黑体"/>
                <w:bCs/>
                <w:sz w:val="24"/>
              </w:rPr>
              <w:t>序号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bCs/>
                <w:sz w:val="24"/>
              </w:rPr>
            </w:pPr>
            <w:r>
              <w:rPr>
                <w:rFonts w:hint="eastAsia" w:eastAsia="黑体" w:cs="黑体"/>
                <w:bCs/>
                <w:sz w:val="24"/>
              </w:rPr>
              <w:t>文件名称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bCs/>
                <w:sz w:val="24"/>
              </w:rPr>
            </w:pPr>
            <w:r>
              <w:rPr>
                <w:rFonts w:hint="eastAsia" w:eastAsia="黑体" w:cs="黑体"/>
                <w:bCs/>
                <w:sz w:val="24"/>
              </w:rPr>
              <w:t>文号</w:t>
            </w:r>
          </w:p>
        </w:tc>
        <w:tc>
          <w:tcPr>
            <w:tcW w:w="7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bCs/>
                <w:sz w:val="24"/>
              </w:rPr>
            </w:pPr>
            <w:r>
              <w:rPr>
                <w:rFonts w:hint="eastAsia" w:eastAsia="黑体" w:cs="黑体"/>
                <w:bCs/>
                <w:sz w:val="24"/>
              </w:rPr>
              <w:t>修改内容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 w:cs="黑体"/>
                <w:bCs/>
                <w:sz w:val="24"/>
              </w:rPr>
            </w:pPr>
            <w:r>
              <w:rPr>
                <w:rFonts w:hint="eastAsia" w:eastAsia="黑体" w:cs="黑体"/>
                <w:bCs/>
                <w:sz w:val="24"/>
              </w:rPr>
              <w:t>清理责任单位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关于印发《泰顺县高水平建设“四好农村路”的补充意见》的通知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泰政发[2018]83号</w:t>
            </w:r>
          </w:p>
        </w:tc>
        <w:tc>
          <w:tcPr>
            <w:tcW w:w="7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1、第十一条农村公路技术标准增加：《小交通量农村公路工程技术标准》（JTG 2111-2019),更改后内容为“第十一条 通自然村公路、断头路及低等级公路提升改造、消除等外公路技术要求，根据《交通部关于农村公路建设指导意见的通知》《浙江省农村公路改造提升技术指导手册》《温州市农村公路提升工程技术指南》《小交通量农村公路工程技术标准 》》（JTG 2111-2019)执行，同时结合我县实际，一并遵循以下技术要求” 。2、删去第四十条中“有效期至2020年12月31日止”的内容。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关于印发进一步加强统计基层和基础建设奖补办法的通知 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泰政办[2015]160号 </w:t>
            </w:r>
          </w:p>
        </w:tc>
        <w:tc>
          <w:tcPr>
            <w:tcW w:w="7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删除文件第二页“二、完善调查监测体系，提高调查监测补贴”至第三页“评比结果为优秀的给予300元奖励”内容，其他部分保持不变。该删除内容涉及的补助调准已在《泰顺县住户统计调查管理实施办法》的通知（泰政办[2018]55号 ）文件中体现。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泰顺县人民政府关于印发《深化“亩均论英雄”改革推进企业综合评价的实施意见》的通知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泰政发[2018]85号</w:t>
            </w:r>
          </w:p>
        </w:tc>
        <w:tc>
          <w:tcPr>
            <w:tcW w:w="7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1、删去二（三）2（2）中的“③亩均税收低于2万元的企业，直接列入D类；④应参加综合评价而未参加的企业，直接列入D类”的内容。2、删去三（二）条款内容。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县经信局（县民营经济健康发展促进局）</w:t>
            </w:r>
          </w:p>
        </w:tc>
      </w:tr>
    </w:tbl>
    <w:p>
      <w:pPr>
        <w:snapToGrid w:val="0"/>
        <w:spacing w:line="300" w:lineRule="auto"/>
        <w:rPr>
          <w:rFonts w:hint="eastAsia" w:ascii="仿宋" w:hAnsi="仿宋" w:eastAsia="仿宋" w:cs="仿宋"/>
          <w:sz w:val="32"/>
        </w:rPr>
        <w:sectPr>
          <w:pgSz w:w="16840" w:h="11907" w:orient="landscape"/>
          <w:pgMar w:top="1531" w:right="2155" w:bottom="1531" w:left="1985" w:header="851" w:footer="1588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B2ED4"/>
    <w:rsid w:val="0C6B2ED4"/>
    <w:rsid w:val="76B51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uiPriority w:val="0"/>
    <w:pPr>
      <w:jc w:val="center"/>
    </w:pPr>
    <w:rPr>
      <w:rFonts w:eastAsia="宋体"/>
      <w:sz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2020-12-31T01:58:00Z</dcterms:created>
  <dc:creator>季月圆</dc:creator>
  <cp:lastModifiedBy>季月圆</cp:lastModifiedBy>
  <dcterms:modified xsi:type="dcterms:W3CDTF">2020-12-31T01:59:48Z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