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beforeAutospacing="0" w:afterAutospacing="0" w:line="240" w:lineRule="auto"/>
        <w:jc w:val="both"/>
        <w:rPr>
          <w:rFonts w:hint="eastAsia" w:ascii="方正小标宋简体" w:hAnsi="方正小标宋简体" w:eastAsia="方正小标宋简体" w:cs="方正小标宋简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rPr>
        <w:t>附件</w:t>
      </w:r>
    </w:p>
    <w:p>
      <w:pPr>
        <w:pStyle w:val="5"/>
        <w:widowControl/>
        <w:adjustRightInd w:val="0"/>
        <w:snapToGrid w:val="0"/>
        <w:spacing w:beforeAutospacing="0" w:afterAutospacing="0" w:line="600" w:lineRule="exact"/>
        <w:ind w:firstLine="420"/>
        <w:jc w:val="center"/>
        <w:rPr>
          <w:rFonts w:hint="default" w:ascii="方正小标宋简体" w:hAnsi="方正小标宋简体" w:eastAsia="方正小标宋简体" w:cs="方正小标宋简体"/>
          <w:bCs/>
          <w:color w:val="auto"/>
          <w:kern w:val="2"/>
          <w:sz w:val="44"/>
          <w:szCs w:val="44"/>
          <w:highlight w:val="none"/>
          <w:lang w:val="en-US" w:eastAsia="zh-CN"/>
        </w:rPr>
      </w:pPr>
      <w:bookmarkStart w:id="0" w:name="_GoBack"/>
      <w:r>
        <w:rPr>
          <w:rFonts w:hint="eastAsia" w:ascii="方正小标宋简体" w:hAnsi="方正小标宋简体" w:eastAsia="方正小标宋简体" w:cs="方正小标宋简体"/>
          <w:bCs/>
          <w:color w:val="auto"/>
          <w:kern w:val="2"/>
          <w:sz w:val="44"/>
          <w:szCs w:val="44"/>
          <w:highlight w:val="none"/>
          <w:lang w:val="en-US" w:eastAsia="zh-CN"/>
        </w:rPr>
        <w:t>泰顺县</w:t>
      </w:r>
      <w:r>
        <w:rPr>
          <w:rFonts w:hint="eastAsia" w:ascii="方正小标宋简体" w:hAnsi="方正小标宋简体" w:eastAsia="方正小标宋简体" w:cs="方正小标宋简体"/>
          <w:bCs/>
          <w:color w:val="auto"/>
          <w:kern w:val="2"/>
          <w:sz w:val="44"/>
          <w:szCs w:val="44"/>
          <w:highlight w:val="none"/>
        </w:rPr>
        <w:t>加强住宅小区物业管理工作</w:t>
      </w:r>
      <w:r>
        <w:rPr>
          <w:rFonts w:hint="eastAsia" w:ascii="方正小标宋简体" w:hAnsi="方正小标宋简体" w:eastAsia="方正小标宋简体" w:cs="方正小标宋简体"/>
          <w:bCs/>
          <w:color w:val="auto"/>
          <w:kern w:val="2"/>
          <w:sz w:val="44"/>
          <w:szCs w:val="44"/>
          <w:highlight w:val="none"/>
          <w:lang w:eastAsia="zh-CN"/>
        </w:rPr>
        <w:t>任务分解</w:t>
      </w:r>
      <w:r>
        <w:rPr>
          <w:rFonts w:hint="eastAsia" w:ascii="方正小标宋简体" w:hAnsi="方正小标宋简体" w:eastAsia="方正小标宋简体" w:cs="方正小标宋简体"/>
          <w:bCs/>
          <w:color w:val="auto"/>
          <w:kern w:val="2"/>
          <w:sz w:val="44"/>
          <w:szCs w:val="44"/>
          <w:highlight w:val="none"/>
          <w:lang w:val="en-US" w:eastAsia="zh-CN"/>
        </w:rPr>
        <w:t>表</w:t>
      </w:r>
    </w:p>
    <w:bookmarkEnd w:id="0"/>
    <w:tbl>
      <w:tblPr>
        <w:tblStyle w:val="7"/>
        <w:tblW w:w="14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530"/>
        <w:gridCol w:w="9024"/>
        <w:gridCol w:w="1728"/>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793" w:type="dxa"/>
            <w:vAlign w:val="center"/>
          </w:tcPr>
          <w:p>
            <w:pPr>
              <w:jc w:val="center"/>
              <w:rPr>
                <w:rFonts w:hint="eastAsia" w:ascii="仿宋_GB2312" w:hAnsi="仿宋_GB2312" w:eastAsia="仿宋_GB2312" w:cs="仿宋_GB2312"/>
                <w:b/>
                <w:bCs/>
                <w:color w:val="auto"/>
                <w:sz w:val="28"/>
                <w:szCs w:val="28"/>
                <w:highlight w:val="none"/>
                <w:vertAlign w:val="baseline"/>
                <w:lang w:eastAsia="zh-CN"/>
              </w:rPr>
            </w:pPr>
            <w:r>
              <w:rPr>
                <w:rFonts w:hint="eastAsia" w:ascii="仿宋_GB2312" w:hAnsi="仿宋_GB2312" w:eastAsia="仿宋_GB2312" w:cs="仿宋_GB2312"/>
                <w:b/>
                <w:bCs/>
                <w:color w:val="auto"/>
                <w:sz w:val="28"/>
                <w:szCs w:val="28"/>
                <w:highlight w:val="none"/>
                <w:vertAlign w:val="baseline"/>
                <w:lang w:eastAsia="zh-CN"/>
              </w:rPr>
              <w:t>序号</w:t>
            </w:r>
          </w:p>
        </w:tc>
        <w:tc>
          <w:tcPr>
            <w:tcW w:w="1530" w:type="dxa"/>
            <w:vAlign w:val="center"/>
          </w:tcPr>
          <w:p>
            <w:pPr>
              <w:jc w:val="center"/>
              <w:rPr>
                <w:rFonts w:hint="eastAsia" w:ascii="仿宋_GB2312" w:hAnsi="仿宋_GB2312" w:eastAsia="仿宋_GB2312" w:cs="仿宋_GB2312"/>
                <w:b/>
                <w:bCs/>
                <w:color w:val="auto"/>
                <w:sz w:val="28"/>
                <w:szCs w:val="28"/>
                <w:highlight w:val="none"/>
                <w:vertAlign w:val="baseline"/>
                <w:lang w:eastAsia="zh-CN"/>
              </w:rPr>
            </w:pPr>
            <w:r>
              <w:rPr>
                <w:rFonts w:hint="eastAsia" w:ascii="仿宋_GB2312" w:hAnsi="仿宋_GB2312" w:eastAsia="仿宋_GB2312" w:cs="仿宋_GB2312"/>
                <w:b/>
                <w:bCs/>
                <w:color w:val="auto"/>
                <w:sz w:val="28"/>
                <w:szCs w:val="28"/>
                <w:highlight w:val="none"/>
                <w:vertAlign w:val="baseline"/>
                <w:lang w:eastAsia="zh-CN"/>
              </w:rPr>
              <w:t>任务名称</w:t>
            </w:r>
          </w:p>
        </w:tc>
        <w:tc>
          <w:tcPr>
            <w:tcW w:w="9024" w:type="dxa"/>
            <w:vAlign w:val="center"/>
          </w:tcPr>
          <w:p>
            <w:pPr>
              <w:jc w:val="center"/>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eastAsia="zh-CN"/>
              </w:rPr>
              <w:t>主要内容</w:t>
            </w:r>
          </w:p>
        </w:tc>
        <w:tc>
          <w:tcPr>
            <w:tcW w:w="1728" w:type="dxa"/>
            <w:vAlign w:val="center"/>
          </w:tcPr>
          <w:p>
            <w:pPr>
              <w:jc w:val="center"/>
              <w:rPr>
                <w:rFonts w:hint="eastAsia" w:ascii="仿宋_GB2312" w:hAnsi="仿宋_GB2312" w:eastAsia="仿宋_GB2312" w:cs="仿宋_GB2312"/>
                <w:b/>
                <w:bCs/>
                <w:color w:val="auto"/>
                <w:sz w:val="28"/>
                <w:szCs w:val="28"/>
                <w:highlight w:val="none"/>
                <w:vertAlign w:val="baseline"/>
                <w:lang w:eastAsia="zh-CN"/>
              </w:rPr>
            </w:pPr>
            <w:r>
              <w:rPr>
                <w:rFonts w:hint="eastAsia" w:ascii="仿宋_GB2312" w:hAnsi="仿宋_GB2312" w:eastAsia="仿宋_GB2312" w:cs="仿宋_GB2312"/>
                <w:b/>
                <w:bCs/>
                <w:color w:val="auto"/>
                <w:sz w:val="28"/>
                <w:szCs w:val="28"/>
                <w:highlight w:val="none"/>
                <w:vertAlign w:val="baseline"/>
                <w:lang w:eastAsia="zh-CN"/>
              </w:rPr>
              <w:t>完成时限</w:t>
            </w:r>
          </w:p>
        </w:tc>
        <w:tc>
          <w:tcPr>
            <w:tcW w:w="1615" w:type="dxa"/>
            <w:vAlign w:val="center"/>
          </w:tcPr>
          <w:p>
            <w:pPr>
              <w:jc w:val="center"/>
              <w:rPr>
                <w:rFonts w:hint="eastAsia" w:ascii="仿宋_GB2312" w:hAnsi="仿宋_GB2312" w:eastAsia="仿宋_GB2312" w:cs="仿宋_GB2312"/>
                <w:b/>
                <w:bCs/>
                <w:color w:val="auto"/>
                <w:sz w:val="28"/>
                <w:szCs w:val="28"/>
                <w:highlight w:val="none"/>
                <w:vertAlign w:val="baseline"/>
                <w:lang w:eastAsia="zh-CN"/>
              </w:rPr>
            </w:pPr>
            <w:r>
              <w:rPr>
                <w:rFonts w:hint="eastAsia" w:ascii="仿宋_GB2312" w:hAnsi="仿宋_GB2312" w:eastAsia="仿宋_GB2312" w:cs="仿宋_GB2312"/>
                <w:b/>
                <w:bCs/>
                <w:color w:val="auto"/>
                <w:sz w:val="28"/>
                <w:szCs w:val="28"/>
                <w:highlight w:val="none"/>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加强业主自治组织建设</w:t>
            </w:r>
          </w:p>
        </w:tc>
        <w:tc>
          <w:tcPr>
            <w:tcW w:w="9024" w:type="dxa"/>
            <w:vAlign w:val="center"/>
          </w:tcPr>
          <w:p>
            <w:pPr>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完善党建引领基层建设，加强党对业主委员会工作的领导。建立健全社区党组织领导下的</w:t>
            </w:r>
            <w:r>
              <w:rPr>
                <w:rFonts w:hint="eastAsia" w:ascii="仿宋_GB2312" w:hAnsi="仿宋_GB2312" w:eastAsia="仿宋_GB2312" w:cs="仿宋_GB2312"/>
                <w:color w:val="auto"/>
                <w:sz w:val="24"/>
                <w:szCs w:val="24"/>
                <w:highlight w:val="none"/>
                <w:lang w:eastAsia="zh-CN"/>
              </w:rPr>
              <w:t>村（</w:t>
            </w:r>
            <w:r>
              <w:rPr>
                <w:rFonts w:hint="eastAsia" w:ascii="仿宋_GB2312" w:hAnsi="仿宋_GB2312" w:eastAsia="仿宋_GB2312" w:cs="仿宋_GB2312"/>
                <w:color w:val="auto"/>
                <w:sz w:val="24"/>
                <w:szCs w:val="24"/>
                <w:highlight w:val="none"/>
              </w:rPr>
              <w:t>居）民委员会、业主委员会和物业服务</w:t>
            </w:r>
            <w:r>
              <w:rPr>
                <w:rFonts w:hint="eastAsia" w:ascii="仿宋_GB2312" w:hAnsi="仿宋_GB2312" w:eastAsia="仿宋_GB2312" w:cs="仿宋_GB2312"/>
                <w:color w:val="auto"/>
                <w:sz w:val="24"/>
                <w:szCs w:val="24"/>
                <w:highlight w:val="none"/>
                <w:lang w:eastAsia="zh-CN"/>
              </w:rPr>
              <w:t>人</w:t>
            </w:r>
            <w:r>
              <w:rPr>
                <w:rFonts w:hint="eastAsia" w:ascii="仿宋_GB2312" w:hAnsi="仿宋_GB2312" w:eastAsia="仿宋_GB2312" w:cs="仿宋_GB2312"/>
                <w:color w:val="auto"/>
                <w:sz w:val="24"/>
                <w:szCs w:val="24"/>
                <w:highlight w:val="none"/>
              </w:rPr>
              <w:t>议事协调机制。</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县委组织部</w:t>
            </w:r>
          </w:p>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eastAsia="zh-CN"/>
              </w:rPr>
            </w:pPr>
          </w:p>
        </w:tc>
        <w:tc>
          <w:tcPr>
            <w:tcW w:w="9024" w:type="dxa"/>
            <w:vAlign w:val="center"/>
          </w:tcPr>
          <w:p>
            <w:pPr>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业主委员会成员任职资格条件</w:t>
            </w:r>
            <w:r>
              <w:rPr>
                <w:rFonts w:hint="eastAsia" w:ascii="仿宋_GB2312" w:hAnsi="仿宋_GB2312" w:eastAsia="仿宋_GB2312" w:cs="仿宋_GB2312"/>
                <w:color w:val="auto"/>
                <w:sz w:val="24"/>
                <w:szCs w:val="24"/>
                <w:highlight w:val="none"/>
                <w:lang w:eastAsia="zh-CN"/>
              </w:rPr>
              <w:t>审查，符合成立业主大会条件的，业委会组建率达</w:t>
            </w:r>
            <w:r>
              <w:rPr>
                <w:rFonts w:hint="eastAsia" w:ascii="仿宋_GB2312" w:hAnsi="仿宋_GB2312" w:eastAsia="仿宋_GB2312" w:cs="仿宋_GB2312"/>
                <w:color w:val="auto"/>
                <w:sz w:val="24"/>
                <w:szCs w:val="24"/>
                <w:highlight w:val="none"/>
                <w:lang w:val="en-US" w:eastAsia="zh-CN"/>
              </w:rPr>
              <w:t>100%。</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各有关</w:t>
            </w:r>
            <w:r>
              <w:rPr>
                <w:rFonts w:hint="eastAsia" w:ascii="仿宋_GB2312" w:hAnsi="仿宋_GB2312" w:eastAsia="仿宋_GB2312" w:cs="仿宋_GB2312"/>
                <w:b w:val="0"/>
                <w:bCs w:val="0"/>
                <w:color w:val="auto"/>
                <w:sz w:val="24"/>
                <w:szCs w:val="24"/>
                <w:highlight w:val="none"/>
                <w:lang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推行“三审两公开一备案”、“业财代理”、“业标街管”制度。</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2024年12月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各有关</w:t>
            </w:r>
            <w:r>
              <w:rPr>
                <w:rFonts w:hint="eastAsia" w:ascii="仿宋_GB2312" w:hAnsi="仿宋_GB2312" w:eastAsia="仿宋_GB2312" w:cs="仿宋_GB2312"/>
                <w:b w:val="0"/>
                <w:bCs w:val="0"/>
                <w:color w:val="auto"/>
                <w:sz w:val="24"/>
                <w:szCs w:val="24"/>
                <w:highlight w:val="none"/>
                <w:lang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提升物业行业标准</w:t>
            </w: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修订发布泰顺县普通住宅小区物业服务等级标准。</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5</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符合招投标条件的新建住宅小区实行前期物业100%招投标；推行业主委员会在业主大会授权下参照前期物业招投标方式选聘物业服务人。</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w:t>
            </w:r>
            <w:r>
              <w:rPr>
                <w:rFonts w:hint="eastAsia" w:ascii="仿宋_GB2312" w:hAnsi="仿宋_GB2312" w:eastAsia="仿宋_GB2312" w:cs="仿宋_GB2312"/>
                <w:b w:val="0"/>
                <w:bCs w:val="0"/>
                <w:color w:val="auto"/>
                <w:sz w:val="24"/>
                <w:szCs w:val="24"/>
                <w:highlight w:val="none"/>
                <w:lang w:eastAsia="zh-CN"/>
              </w:rPr>
              <w:t>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6</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物业服务人在物业管理区域主要出入口、公示栏、物业服务用房等显著位置公示服务内容和收费标准，划分服务区域，明确责任人等信息。</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7</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加强小区配套设施建设与管理</w:t>
            </w: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小区竣工交付满2年且尚未出售、附赠的车库、车位，鼓励开发建设单位或委托的物业服务人向业主招租，合理设定停车服务费，提高地下车库、车位使用率。</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8</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推进智慧物业建设。</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9</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加强物业服务的监督管理</w:t>
            </w: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依法查处违章搭建、擅自改变规划用途的</w:t>
            </w:r>
            <w:r>
              <w:rPr>
                <w:rFonts w:hint="eastAsia" w:ascii="仿宋_GB2312" w:hAnsi="仿宋_GB2312" w:eastAsia="仿宋_GB2312" w:cs="仿宋_GB2312"/>
                <w:color w:val="auto"/>
                <w:sz w:val="24"/>
                <w:szCs w:val="24"/>
                <w:highlight w:val="none"/>
              </w:rPr>
              <w:t>违规违法行为</w:t>
            </w:r>
            <w:r>
              <w:rPr>
                <w:rFonts w:hint="eastAsia" w:ascii="仿宋_GB2312" w:hAnsi="仿宋_GB2312" w:eastAsia="仿宋_GB2312" w:cs="仿宋_GB2312"/>
                <w:color w:val="auto"/>
                <w:sz w:val="24"/>
                <w:szCs w:val="24"/>
                <w:highlight w:val="none"/>
                <w:lang w:eastAsia="zh-CN"/>
              </w:rPr>
              <w:t>。</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县自然资源和规划局</w:t>
            </w:r>
          </w:p>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10</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依法查处破坏承重梁、柱、墙等危及房屋安全的违规装修装饰行为。</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w:t>
            </w:r>
            <w:r>
              <w:rPr>
                <w:rFonts w:hint="eastAsia" w:ascii="仿宋_GB2312" w:hAnsi="仿宋_GB2312" w:eastAsia="仿宋_GB2312" w:cs="仿宋_GB2312"/>
                <w:b w:val="0"/>
                <w:bCs w:val="0"/>
                <w:color w:val="auto"/>
                <w:sz w:val="24"/>
                <w:szCs w:val="24"/>
                <w:highlight w:val="none"/>
                <w:lang w:eastAsia="zh-CN"/>
              </w:rPr>
              <w:t>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11</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依法</w:t>
            </w:r>
            <w:r>
              <w:rPr>
                <w:rFonts w:hint="eastAsia" w:ascii="仿宋_GB2312" w:hAnsi="仿宋_GB2312" w:eastAsia="仿宋_GB2312" w:cs="仿宋_GB2312"/>
                <w:color w:val="auto"/>
                <w:sz w:val="24"/>
                <w:szCs w:val="24"/>
                <w:highlight w:val="none"/>
                <w:lang w:eastAsia="zh-CN"/>
              </w:rPr>
              <w:t>查</w:t>
            </w:r>
            <w:r>
              <w:rPr>
                <w:rFonts w:hint="eastAsia" w:ascii="仿宋_GB2312" w:hAnsi="仿宋_GB2312" w:eastAsia="仿宋_GB2312" w:cs="仿宋_GB2312"/>
                <w:color w:val="auto"/>
                <w:sz w:val="24"/>
                <w:szCs w:val="24"/>
                <w:highlight w:val="none"/>
              </w:rPr>
              <w:t>处小区违法装修、违章搭建、侵占公共绿地等违规违法行为；查处小区内商业经营活动中使用空调器、冷却塔等可能产生环境噪声污染的设备、设施的行为</w:t>
            </w:r>
            <w:r>
              <w:rPr>
                <w:rFonts w:hint="eastAsia" w:ascii="仿宋_GB2312" w:hAnsi="仿宋_GB2312" w:eastAsia="仿宋_GB2312" w:cs="仿宋_GB2312"/>
                <w:color w:val="auto"/>
                <w:sz w:val="24"/>
                <w:szCs w:val="24"/>
                <w:highlight w:val="none"/>
                <w:lang w:eastAsia="zh-CN"/>
              </w:rPr>
              <w:t>。</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县综合行政执法局</w:t>
            </w:r>
          </w:p>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w:t>
            </w:r>
            <w:r>
              <w:rPr>
                <w:rFonts w:hint="eastAsia" w:ascii="仿宋_GB2312" w:hAnsi="仿宋_GB2312" w:eastAsia="仿宋_GB2312" w:cs="仿宋_GB2312"/>
                <w:b w:val="0"/>
                <w:bCs w:val="0"/>
                <w:color w:val="auto"/>
                <w:sz w:val="24"/>
                <w:szCs w:val="24"/>
                <w:highlight w:val="none"/>
                <w:lang w:eastAsia="zh-CN"/>
              </w:rPr>
              <w:t>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12</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加强物业服务的监督管理</w:t>
            </w: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物业服务人</w:t>
            </w:r>
            <w:r>
              <w:rPr>
                <w:rFonts w:hint="eastAsia" w:ascii="仿宋_GB2312" w:hAnsi="仿宋_GB2312" w:eastAsia="仿宋_GB2312" w:cs="仿宋_GB2312"/>
                <w:color w:val="auto"/>
                <w:sz w:val="24"/>
                <w:szCs w:val="24"/>
                <w:highlight w:val="none"/>
              </w:rPr>
              <w:t>落实小区各项治安管理措施，查处小区内违反治安、技防、妨碍执法等违规违法行为。</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13</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物业服务人</w:t>
            </w:r>
            <w:r>
              <w:rPr>
                <w:rFonts w:hint="eastAsia" w:ascii="仿宋_GB2312" w:hAnsi="仿宋_GB2312" w:eastAsia="仿宋_GB2312" w:cs="仿宋_GB2312"/>
                <w:color w:val="auto"/>
                <w:sz w:val="24"/>
                <w:szCs w:val="24"/>
                <w:highlight w:val="none"/>
              </w:rPr>
              <w:t>落实小区各项消防安全管理措施，小区消防安全检查，依法查处违反消防管理规定等行为；对小区电瓶车违规充电、私拉电源线、占用消防通道等违法违规行为的查处。</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14</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物业服务人承接服务项目，按规定时限办理备案。</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15</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加强物业管理机制建设</w:t>
            </w: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物业专项维修资金应急使用的申请、使用、监管。</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16</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出台物业服务项目考核参考细则。</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17</w:t>
            </w:r>
          </w:p>
        </w:tc>
        <w:tc>
          <w:tcPr>
            <w:tcW w:w="1530" w:type="dxa"/>
            <w:vMerge w:val="continue"/>
            <w:vAlign w:val="center"/>
          </w:tcPr>
          <w:p>
            <w:pPr>
              <w:jc w:val="center"/>
              <w:rPr>
                <w:rFonts w:hint="eastAsia" w:ascii="仿宋_GB2312" w:hAnsi="仿宋_GB2312" w:eastAsia="仿宋_GB2312" w:cs="仿宋_GB2312"/>
                <w:b w:val="0"/>
                <w:bCs w:val="0"/>
                <w:color w:val="auto"/>
                <w:sz w:val="24"/>
                <w:szCs w:val="24"/>
                <w:highlight w:val="no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小区共有部分、共有设施设备及相关场地检查、验收、交接和备案。</w:t>
            </w:r>
          </w:p>
        </w:tc>
        <w:tc>
          <w:tcPr>
            <w:tcW w:w="1728"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长期</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县住建局</w:t>
            </w:r>
          </w:p>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w:t>
            </w:r>
            <w:r>
              <w:rPr>
                <w:rFonts w:hint="eastAsia" w:ascii="仿宋_GB2312" w:hAnsi="仿宋_GB2312" w:eastAsia="仿宋_GB2312" w:cs="仿宋_GB2312"/>
                <w:b w:val="0"/>
                <w:bCs w:val="0"/>
                <w:color w:val="auto"/>
                <w:sz w:val="24"/>
                <w:szCs w:val="24"/>
                <w:highlight w:val="none"/>
                <w:lang w:eastAsia="zh-CN"/>
              </w:rPr>
              <w:t>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18</w:t>
            </w:r>
          </w:p>
        </w:tc>
        <w:tc>
          <w:tcPr>
            <w:tcW w:w="1530" w:type="dxa"/>
            <w:vMerge w:val="restart"/>
            <w:vAlign w:val="center"/>
          </w:tcPr>
          <w:p>
            <w:pPr>
              <w:jc w:val="center"/>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加强老旧小区物业管理</w:t>
            </w: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老旧小区选聘专业物业服务人，开展专业化有偿物业服务；无法开展专业物业服务的，成立物业管理服务中心，实施保洁、保绿、保安服务为主要内容的基础性物业服务。</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w:t>
            </w:r>
            <w:r>
              <w:rPr>
                <w:rFonts w:hint="eastAsia" w:ascii="仿宋_GB2312" w:hAnsi="仿宋_GB2312" w:eastAsia="仿宋_GB2312" w:cs="仿宋_GB2312"/>
                <w:b w:val="0"/>
                <w:bCs w:val="0"/>
                <w:color w:val="auto"/>
                <w:sz w:val="24"/>
                <w:szCs w:val="24"/>
                <w:highlight w:val="none"/>
                <w:lang w:eastAsia="zh-CN"/>
              </w:rPr>
              <w:t>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93"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19</w:t>
            </w:r>
          </w:p>
        </w:tc>
        <w:tc>
          <w:tcPr>
            <w:tcW w:w="1530" w:type="dxa"/>
            <w:vMerge w:val="continue"/>
            <w:vAlign w:val="center"/>
          </w:tcPr>
          <w:p>
            <w:pPr>
              <w:jc w:val="both"/>
              <w:rPr>
                <w:rFonts w:hint="eastAsia" w:ascii="仿宋" w:hAnsi="仿宋" w:eastAsia="仿宋" w:cs="仿宋"/>
                <w:color w:val="auto"/>
                <w:sz w:val="24"/>
                <w:szCs w:val="24"/>
                <w:highlight w:val="none"/>
                <w:vertAlign w:val="baseline"/>
                <w:lang w:val="en-US" w:eastAsia="zh-CN"/>
              </w:rPr>
            </w:pPr>
          </w:p>
        </w:tc>
        <w:tc>
          <w:tcPr>
            <w:tcW w:w="9024" w:type="dxa"/>
            <w:vAlign w:val="center"/>
          </w:tcPr>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推进“无物管”小区物业管理全覆盖工作。</w:t>
            </w:r>
          </w:p>
        </w:tc>
        <w:tc>
          <w:tcPr>
            <w:tcW w:w="1728" w:type="dxa"/>
            <w:vAlign w:val="center"/>
          </w:tcPr>
          <w:p>
            <w:pPr>
              <w:jc w:val="center"/>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2024年6月</w:t>
            </w:r>
          </w:p>
        </w:tc>
        <w:tc>
          <w:tcPr>
            <w:tcW w:w="1615" w:type="dxa"/>
            <w:vAlign w:val="center"/>
          </w:tcPr>
          <w:p>
            <w:pPr>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val="en-US" w:eastAsia="zh-CN"/>
              </w:rPr>
              <w:t>各</w:t>
            </w:r>
            <w:r>
              <w:rPr>
                <w:rFonts w:hint="eastAsia" w:ascii="仿宋_GB2312" w:hAnsi="仿宋_GB2312" w:eastAsia="仿宋_GB2312" w:cs="仿宋_GB2312"/>
                <w:b w:val="0"/>
                <w:bCs w:val="0"/>
                <w:color w:val="auto"/>
                <w:sz w:val="24"/>
                <w:szCs w:val="24"/>
                <w:highlight w:val="none"/>
                <w:lang w:eastAsia="zh-CN"/>
              </w:rPr>
              <w:t>有关乡镇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DMzZDhkNWE4ODZjNmE3MDk3Nzc3ZmQ0MmE4M2MifQ=="/>
  </w:docVars>
  <w:rsids>
    <w:rsidRoot w:val="26492AF5"/>
    <w:rsid w:val="2649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2"/>
    <w:qFormat/>
    <w:uiPriority w:val="0"/>
    <w:rPr>
      <w:rFonts w:eastAsia="仿宋_GB2312" w:cs="Times New Roman"/>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after="100" w:afterAutospacing="1"/>
      <w:jc w:val="left"/>
    </w:pPr>
    <w:rPr>
      <w:rFonts w:cs="Times New Roman"/>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2024-02-26T06:44:00Z</dcterms:created>
  <dc:creator>Nuomici</dc:creator>
  <cp:lastModifiedBy>Nuomici</cp:lastModifiedBy>
  <dcterms:modified xsi:type="dcterms:W3CDTF">2024-02-26T06:45:13Z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FB7B88778A4345D4BEF62F3ABCE52A81_11</vt:lpwstr>
  </property>
</Properties>
</file>