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autoSpaceDE w:val="0"/>
        <w:autoSpaceDN w:val="0"/>
        <w:adjustRightInd w:val="0"/>
        <w:snapToGrid w:val="0"/>
        <w:rPr>
          <w:rFonts w:hint="eastAsia" w:ascii="仿宋" w:hAnsi="仿宋" w:eastAsia="仿宋" w:cs="仿宋"/>
          <w:sz w:val="32"/>
          <w:szCs w:val="32"/>
        </w:rPr>
      </w:pPr>
    </w:p>
    <w:p>
      <w:pPr>
        <w:snapToGrid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继续有效的县政府行政规范性文件目录</w:t>
      </w:r>
    </w:p>
    <w:bookmarkEnd w:id="0"/>
    <w:tbl>
      <w:tblPr>
        <w:tblStyle w:val="4"/>
        <w:tblpPr w:leftFromText="180" w:rightFromText="180" w:vertAnchor="text" w:horzAnchor="page" w:tblpX="1469" w:tblpY="727"/>
        <w:tblOverlap w:val="never"/>
        <w:tblW w:w="9323" w:type="dxa"/>
        <w:tblInd w:w="0" w:type="dxa"/>
        <w:tblLayout w:type="fixed"/>
        <w:tblCellMar>
          <w:top w:w="0" w:type="dxa"/>
          <w:left w:w="0" w:type="dxa"/>
          <w:bottom w:w="0" w:type="dxa"/>
          <w:right w:w="0" w:type="dxa"/>
        </w:tblCellMar>
      </w:tblPr>
      <w:tblGrid>
        <w:gridCol w:w="500"/>
        <w:gridCol w:w="5163"/>
        <w:gridCol w:w="1995"/>
        <w:gridCol w:w="1665"/>
      </w:tblGrid>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4"/>
              </w:rPr>
            </w:pPr>
            <w:r>
              <w:rPr>
                <w:rFonts w:hint="eastAsia" w:ascii="黑体" w:hAnsi="黑体" w:eastAsia="黑体" w:cs="黑体"/>
                <w:b/>
                <w:color w:val="000000"/>
                <w:kern w:val="0"/>
                <w:sz w:val="24"/>
              </w:rPr>
              <w:t>序号</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4"/>
              </w:rPr>
            </w:pPr>
            <w:r>
              <w:rPr>
                <w:rFonts w:hint="eastAsia" w:ascii="黑体" w:hAnsi="黑体" w:eastAsia="黑体" w:cs="黑体"/>
                <w:b/>
                <w:color w:val="000000"/>
                <w:kern w:val="0"/>
                <w:sz w:val="24"/>
              </w:rPr>
              <w:t>文件名称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4"/>
              </w:rPr>
            </w:pPr>
            <w:r>
              <w:rPr>
                <w:rFonts w:hint="eastAsia" w:ascii="黑体" w:hAnsi="黑体" w:eastAsia="黑体" w:cs="黑体"/>
                <w:b/>
                <w:color w:val="000000"/>
                <w:kern w:val="0"/>
                <w:sz w:val="24"/>
              </w:rPr>
              <w:t>文号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kern w:val="0"/>
                <w:sz w:val="24"/>
              </w:rPr>
            </w:pPr>
            <w:r>
              <w:rPr>
                <w:rFonts w:hint="eastAsia" w:ascii="黑体" w:hAnsi="黑体" w:eastAsia="黑体" w:cs="黑体"/>
                <w:b/>
                <w:color w:val="000000"/>
                <w:kern w:val="0"/>
                <w:sz w:val="24"/>
              </w:rPr>
              <w:t>清理责任单位</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关于印发泰顺县人才发展专项资金使用管理办法的通知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泰政办〔2012〕142号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县委人才工作领导小组</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关于印发《泰顺县机关事业单位房产统一管理暂行办法》的通知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泰政办[2015]61号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县机关事务管理中心</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关于印发泰顺县企业应急转贷专项资金管理办法的通知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泰政办[2015]14号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县金融中心</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泰顺县人民政府关于进一步鼓励和支持企业股份制改造推进挂牌上市工作的意见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泰政发[2018]29号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县金融中心</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关于印发泰顺县重大建设项目前期工作管理办法的通知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泰政办〔2012〕205号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县发改局（县粮食和物资储备局）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泰顺县节能财政专项资金管理办法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泰政办[2017]66号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县发改局（县粮食和物资储备局）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泰顺县人民政府办公室关于印发《政府投资小额工程建设项目发包暂行办法》的通知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泰政办〔2019〕62号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县发改局（县粮食和物资储备局）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转发县发展计划局等部门关于全面实行收费公示制度的实施意见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泰政办〔2004〕151号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县发改局（县粮食和物资储备局）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关于印发泰顺县鼓励引导社会资本参与基础设施和公共服务领域建设指导意见的通知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泰政办[2015]62号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县发改局（县粮食和物资储备局）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关于印发泰顺县在外泰商回乡投资重大项目一事一议实施办法（试行）的通知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泰政发〔2012〕115号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县投资促进中心</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关于进一步减轻企业负担促进企业健康发展的实施意见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泰政办[2019]11号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县经信局（县民营经济健康发展促进局）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泰顺县人民政府办公室关于印发泰顺县再生资源回收体系建设实施方案的通知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县经信局（县民营经济健康发展促进局）</w:t>
            </w:r>
          </w:p>
        </w:tc>
      </w:tr>
      <w:tr>
        <w:tblPrEx>
          <w:tblCellMar>
            <w:top w:w="0" w:type="dxa"/>
            <w:left w:w="0" w:type="dxa"/>
            <w:bottom w:w="0" w:type="dxa"/>
            <w:right w:w="0" w:type="dxa"/>
          </w:tblCellMar>
        </w:tblPrEx>
        <w:trPr>
          <w:trHeight w:val="392"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泰顺县工业项目投资管理办法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 32号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县经信局（县民营经济健康发展促进局）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泰顺县人民政府办公室关于印发泰顺县创建新时代“两个健康”先行区加快民营经济高质量发展相关政策和具体措施的通知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泰政办〔2019〕64号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县经信局（县民营经济健康发展促进局）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泰顺县人民政府办公室关于印发《泰顺县低效工业项目整治提升专项行动实施方案》的通知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泰政办〔2019〕67号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县经信局（县民营经济健康发展促进局）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泰顺县人民政府办公室关于印发《泰顺县国有土地上工业用房征收补偿实施细则（试行）》的通知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泰政办[2018]95号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县经信局（县民营经济健康发展促进局）</w:t>
            </w:r>
          </w:p>
        </w:tc>
      </w:tr>
      <w:tr>
        <w:tblPrEx>
          <w:tblCellMar>
            <w:top w:w="0" w:type="dxa"/>
            <w:left w:w="0" w:type="dxa"/>
            <w:bottom w:w="0" w:type="dxa"/>
            <w:right w:w="0" w:type="dxa"/>
          </w:tblCellMar>
        </w:tblPrEx>
        <w:trPr>
          <w:trHeight w:val="422"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泰顺县住宅区公建配套幼儿园管理办法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县教育局</w:t>
            </w:r>
          </w:p>
        </w:tc>
      </w:tr>
      <w:tr>
        <w:tblPrEx>
          <w:tblCellMar>
            <w:top w:w="0" w:type="dxa"/>
            <w:left w:w="0" w:type="dxa"/>
            <w:bottom w:w="0" w:type="dxa"/>
            <w:right w:w="0" w:type="dxa"/>
          </w:tblCellMar>
        </w:tblPrEx>
        <w:trPr>
          <w:trHeight w:val="467"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泰顺县人民政府关于进一步深入综合改革促进民办教育健康发展的实施意见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泰政发〔2019〕111号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县教育局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关于《关于发展众创空间推进大众创新创业的实施意见》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泰政办〔2016〕124号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县科学技术局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关于进一步推进户籍制度改革的实施意见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泰政发[2016]105号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县公安局</w:t>
            </w:r>
          </w:p>
        </w:tc>
      </w:tr>
      <w:tr>
        <w:tblPrEx>
          <w:tblCellMar>
            <w:top w:w="0" w:type="dxa"/>
            <w:left w:w="0" w:type="dxa"/>
            <w:bottom w:w="0" w:type="dxa"/>
            <w:right w:w="0" w:type="dxa"/>
          </w:tblCellMar>
        </w:tblPrEx>
        <w:trPr>
          <w:trHeight w:val="437"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泰顺县户口迁入暂行规定</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泰政发[2019]12号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县公安局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关于印发《泰顺县社会组织承接政府转移职能和购买服务推荐性目录编制管理办法（试行）》的通知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泰政办[2015]168号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关于印发《泰顺县临时救助办法》的通知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泰政办[2016]108号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关于印发泰顺县地名管理办法的通知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泰政办〔2014〕59号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关于印发《泰顺县政府职能向社会组织转移暂行办法》的通知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泰政办[2015]124号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437"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泰顺县社会工作扶持奖励办法（试行）</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泰政办[2017]88号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关于印发泰顺县水库移民专项资金项目扶持管理暂行办法的通知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泰政办[2016]23号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关于印发泰顺县大中型水库农村移民后期扶持人口核定登记实施细则的通知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泰政办〔2006〕163号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县民政局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29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关于转发泰顺县抚恤优待对象医疗保障实施办法的通知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泰政办〔2009〕95号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县退役军人事务局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关于印发泰顺县军民共管设防工程实施办法的通知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泰政办〔2005〕12号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县人武部</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关于加快推进残疾人全面小康进程的实施意见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泰政发[2016]108号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县残联</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关于全面建立困难残疾人生活补贴和重度残疾人护理补贴制度的实施意见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泰政发[2016]109号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县残联</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关于印发泰顺县行政事业单位国有资产管理暂行办法的通知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泰政办[2016]120号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县财政局（县国资办）</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关于印发泰顺县国有资产租赁管理暂行办法的通知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泰政办[2016]88号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县财政局（县国资办）</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关于印发泰顺县国有企业产权管理暂行办法的通知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泰政办[2016]89号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县财政局（县国资办）</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关于印发泰顺县涉税信息交互实施办法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泰政办〔2014〕98号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国家税务总局泰顺县税务局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关于转发泰顺县其他事业单位绩效工资实施办法和泰顺县事业单位工作人员基本养老保险政策调整办法的通知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泰政发〔2012〕24号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关于进一步完善城乡居民基本养老保险制度的意见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泰政发〔2014〕128号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39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关于进一步完善被征地农民社会保障工作的通知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泰政发〔2014〕137号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"http://172.20.237.2/sys/oa/view_gw.aspx?powerid=809&amp;id=234177" \o "http://172.20.237.2/sys/oa/view_gw.aspx?powerid=809&amp;id=234177" </w:instrText>
            </w:r>
            <w:r>
              <w:fldChar w:fldCharType="separate"/>
            </w:r>
            <w:r>
              <w:rPr>
                <w:rFonts w:hint="eastAsia" w:ascii="仿宋" w:hAnsi="仿宋" w:eastAsia="仿宋" w:cs="仿宋"/>
                <w:color w:val="000000"/>
                <w:kern w:val="0"/>
                <w:sz w:val="24"/>
              </w:rPr>
              <w:t>关于完善被征地农民基本生活保障转入企业职工基本养老保险政策的通知</w:t>
            </w:r>
            <w:r>
              <w:rPr>
                <w:rFonts w:hint="eastAsia" w:ascii="仿宋" w:hAnsi="仿宋" w:eastAsia="仿宋" w:cs="仿宋"/>
                <w:color w:val="000000"/>
                <w:kern w:val="0"/>
                <w:sz w:val="24"/>
              </w:rPr>
              <w:fldChar w:fldCharType="end"/>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泰政发[2017]113号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印发关于完善企业职工基本养老保险制度实施办法的通知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泰政发〔2007〕60号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关于印发泰顺县工伤保险费征缴管理办法的通知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泰政办〔2007〕56号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关于转发泰顺县建筑施工企业农民工参加工伤保险实施意见的通知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泰政办〔2008〕97号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关于印发泰顺县社会保险费征缴管理实施办法的通知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泰政办〔2008〕120号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转发县人事劳动社保局关于泰顺县义务教育学校绩效工资实施办法的通知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泰政办〔2009〕164号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关于印发泰顺县城乡居民社会养老保险实施办法的通知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泰政办〔2009〕185号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县人力社保局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关于印发泰顺县城乡困难人员医疗救助实施办法的通知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泰政办[2015]99号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县医疗保障局</w:t>
            </w:r>
          </w:p>
        </w:tc>
      </w:tr>
      <w:tr>
        <w:tblPrEx>
          <w:tblCellMar>
            <w:top w:w="0" w:type="dxa"/>
            <w:left w:w="0" w:type="dxa"/>
            <w:bottom w:w="0" w:type="dxa"/>
            <w:right w:w="0" w:type="dxa"/>
          </w:tblCellMar>
        </w:tblPrEx>
        <w:trPr>
          <w:trHeight w:val="452"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《泰顺县全民基本医疗保险办法》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泰政发[2018]96号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县医疗保障局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49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转发县社保局《泰顺县企业离休人员医疗保险实施意见》的通知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泰政办〔1999〕152号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县医疗保障局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关于印发泰顺县城镇职工二等乙级以上革命伤残军人等有关人员医疗保险实施意见的通知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泰政办〔2004〕1号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县医疗保障局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关于印发泰顺县生育保险办法的通知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泰政办〔2014〕84号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县医疗保障局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关于印发泰顺县城镇低效用地再开发试点工作实施细则（试行）的通知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泰政办〔2014〕72号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关于印发泰顺县耕地保护补偿实施办法的通知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泰政办[2016]84号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关于进一步明确土地开发整理和标准农田建设有关政策的通知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泰政办〔2013〕98号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关于印发泰顺县划拨土地使用权协议出让管理暂行办法的通知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泰政办〔2007〕105号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关于印发泰顺县国有土地使用权出让前期开发费用核算办法的通知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泰政办〔2007〕149号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关于全面落实林技推广人员工作责任加快构建新型林技推广体系的实施意见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泰政发〔2008〕123号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58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关于印发泰顺县城市基础设施配套费征收管理办法的通知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59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关于印发泰顺县临时改变房屋用途管理暂行办法的通知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泰政办〔2014〕92号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泰顺县人民政府办公室关于印发泰顺县住宅房屋征收市场化安置实施办法（试行）的通知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泰政办〔2016〕110号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关于进一步完善促进建筑业持续健康发展的若干意见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泰政办〔2019〕25号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关于印发泰顺县保障性安居工程建设与补偿安置实施办法的通知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泰政办〔2013〕66号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关于进一步促进现代物业服务业发展的若干意见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泰政办[2015]166号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sz w:val="24"/>
              </w:rPr>
              <w:t>64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关于印发泰顺县公共租赁住房保障办法的通知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泰政办[2016]2号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关于印发泰顺县建立健全违法建设防控治理长效机制的通知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关于转发泰顺县新建物业首期专项维修资金交存标准及交存办法的通知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关于印发泰顺县管道燃气特许经营管理办法(试行）的通知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泰政办〔2008〕41号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县住建局﹝县人防办（县民防局）﹞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关于印发泰顺县瓶装燃气经营许可实施意见的通知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县综合行政执法局（县城市管理局）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69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关于印发泰顺县违法建筑认定标准及处置规定的通知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泰政发[2017]145号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县综合行政执法局（县城市管理局）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关于综合行政执法首批划转行政处罚事项的通告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通告[2017]15号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县综合行政执法局（县城市管理局）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rPr>
              <w:t>71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 xml:space="preserve">关于印发泰顺县城乡危旧住宅房屋治理改造工作实施细则的通知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泰政办[2017]40号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县住建局﹝县人防办（县民防局）﹞</w:t>
            </w:r>
          </w:p>
        </w:tc>
      </w:tr>
      <w:tr>
        <w:tblPrEx>
          <w:tblCellMar>
            <w:top w:w="0" w:type="dxa"/>
            <w:left w:w="0" w:type="dxa"/>
            <w:bottom w:w="0" w:type="dxa"/>
            <w:right w:w="0" w:type="dxa"/>
          </w:tblCellMar>
        </w:tblPrEx>
        <w:trPr>
          <w:trHeight w:val="517"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泰顺县避灾安居工程建设项目和资金管理办法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泰政发[2017]55号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县生态搬迁办</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rPr>
              <w:t>73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关于印发泰顺县地质灾害避让搬迁奖励补助的实施意见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泰政办[2017]59号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kern w:val="0"/>
                <w:sz w:val="24"/>
              </w:rPr>
            </w:pPr>
            <w:r>
              <w:rPr>
                <w:rFonts w:hint="eastAsia" w:ascii="仿宋" w:hAnsi="仿宋" w:eastAsia="仿宋" w:cs="仿宋"/>
                <w:kern w:val="0"/>
                <w:sz w:val="24"/>
              </w:rPr>
              <w:t>县自然资源和规划局（县林业局）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关于印发泰顺县抗震安居工程建设项目和资金管理办法的通知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泰政办[2015]60号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县生态搬迁办</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关于印发泰顺县农村公路改造提升工程实施办法的通知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泰政办〔2015〕141号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县交通运输局</w:t>
            </w:r>
          </w:p>
        </w:tc>
      </w:tr>
      <w:tr>
        <w:tblPrEx>
          <w:tblCellMar>
            <w:top w:w="0" w:type="dxa"/>
            <w:left w:w="0" w:type="dxa"/>
            <w:bottom w:w="0" w:type="dxa"/>
            <w:right w:w="0" w:type="dxa"/>
          </w:tblCellMar>
        </w:tblPrEx>
        <w:trPr>
          <w:trHeight w:val="884"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关于印发《泰顺县农村公路养护和管理办法（修订）》的通知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泰政发[2018]82号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县交通运输局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关于印发《泰顺县农村公路改造提升实施办法补充规定》的通知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泰政办[2017]128号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县交通运输局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关于印发高速公路建设政策处理实施办法的通知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泰政发[2017]44号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县交通运输局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79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关于印发《泰顺县高速公路建设政策处理实施办法补充意见》的通知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泰政发[2017]143号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县交通运输局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关于印发泰顺县交通建设工程标后管理暂行办法的通知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泰政办〔2008〕196号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县交通运输局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关于印发《泰顺县农村饮用水长效运行管理制度（试行）》的通知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泰政办〔2019〕58号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县水利局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关于印发《泰顺县农村集体资金资源管理办法》的通知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泰政办〔2012〕226号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关于加快推进现代农业发展的实施意见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泰政办[2017]122号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泰顺县人民政府办公室关于印发泰顺县扶贫小额信贷风险补偿管理暂行办法的通知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泰政办〔2019〕68号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关于印发泰顺县农民异地搬迁项目和资金管理办法的通知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泰政办〔2014〕13号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关于印发泰顺县群众增收致富奔小康特别扶持系列文件的通知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泰政办〔2014〕78号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关于印发泰顺县群众增收致富奔小康特别扶持项目调整办法的通知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泰政办[2015]161号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关于印发泰顺县农民建房审批管理办法和泰顺县农房建设遗留问题处置细则的通知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泰政办[2016]133号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89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关于进一步支持我县设施农业发展的通知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泰政办[2015]126号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泰顺县农村改厕管理办法</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泰政办[2017]125号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泰顺县人民政府办公室关于印发泰顺县扶贫资金互助组织管理办法的通知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泰政办[2018]41号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关于印发泰顺县重大动物疫病防控工作责任制规定的通知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泰政发〔2007〕97号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关于进一步加强农村集体经济审计工作的意见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泰政办〔2007〕121号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县农业农村局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"http://172.20.237.2/sys/oa/view_gw.aspx?powerid=809&amp;id=220454" \o "http://172.20.237.2/sys/oa/view_gw.aspx?powerid=809&amp;id=220454" </w:instrText>
            </w:r>
            <w:r>
              <w:fldChar w:fldCharType="separate"/>
            </w:r>
            <w:r>
              <w:rPr>
                <w:rFonts w:hint="eastAsia" w:ascii="仿宋" w:hAnsi="仿宋" w:eastAsia="仿宋" w:cs="仿宋"/>
                <w:color w:val="000000"/>
                <w:kern w:val="0"/>
                <w:sz w:val="24"/>
              </w:rPr>
              <w:t>关于推进基层综合性文化服务中心建设的实施意见</w:t>
            </w:r>
            <w:r>
              <w:rPr>
                <w:rFonts w:hint="eastAsia" w:ascii="仿宋" w:hAnsi="仿宋" w:eastAsia="仿宋" w:cs="仿宋"/>
                <w:color w:val="000000"/>
                <w:kern w:val="0"/>
                <w:sz w:val="24"/>
              </w:rPr>
              <w:fldChar w:fldCharType="end"/>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"http://172.20.237.2/sys/oa/user/extendfile/2017/508788泰政办%5b2017%5d8号.pdf" \o "http://172.20.237.2/sys/oa/\user\extendfile\2017\508788泰政办[2017]8号.pdf                                                                                                                                                                                         " </w:instrText>
            </w:r>
            <w:r>
              <w:fldChar w:fldCharType="separate"/>
            </w:r>
            <w:r>
              <w:rPr>
                <w:rFonts w:hint="eastAsia" w:ascii="仿宋" w:hAnsi="仿宋" w:eastAsia="仿宋" w:cs="仿宋"/>
                <w:color w:val="000000"/>
                <w:kern w:val="0"/>
                <w:sz w:val="24"/>
              </w:rPr>
              <w:t>泰政办[2017]8号</w:t>
            </w:r>
            <w:r>
              <w:rPr>
                <w:rFonts w:hint="eastAsia" w:ascii="仿宋" w:hAnsi="仿宋" w:eastAsia="仿宋" w:cs="仿宋"/>
                <w:color w:val="000000"/>
                <w:kern w:val="0"/>
                <w:sz w:val="24"/>
              </w:rPr>
              <w:fldChar w:fldCharType="end"/>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县文广旅游体育局（县文物局）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关于加快发展体育产业促进体育消费的实施意见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泰政发[2017]29号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县文广旅游体育局（县文物局）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关于印发泰顺县民宿管理办法的通知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泰政办[2018]42号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县文广旅游体育局（县文物局）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关于印发泰顺县文化精品项目创作生产扶持奖励办法的通知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县委宣传部</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关于修订泰顺县农村部分计划生育独生子女家庭和双女户家庭参加职工基本养老保险财政补助办法的通知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泰政办[2016]78号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99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泰顺县人民政府关于调整泰顺县计划生育利益导向政策的通知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泰政发[2016]138 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关于加强艾滋病防治工作的实施意见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泰政发〔2006〕97号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关于印发《泰顺县农民健康体检项目实施办法》的通知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泰政办〔2006〕56号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关于做好医疗纠纷预防与处置工作的实施意见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泰政发〔2010〕52号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关于印发泰顺县实施国家基本药物制度工作方案的通知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泰政办〔2010〕172号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关于《关于推进责任医生签约服务的实施意见》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泰政办〔2016〕122号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关于农村双女户享受农村部分计划生育家庭奖励扶助政策的通知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泰政发〔2006〕127号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关于印发泰顺县实行免费婚检和优生检测实施意见的通知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泰政办〔2008〕231号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90"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关于建立泰顺县疾病应急救助制度的实施意见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泰政办[2019]22号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县卫生健康局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关于转发泰顺县各类市场商业用房面积和基础配套设施最低标准意见的通知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泰政办〔2005〕190号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县市场监督管理局（县知识产权局）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109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关于印发《泰顺县县长质量奖评审管理办法（修订）》的通知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泰政办〔2019〕65号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县市场监督管理局（县知识产权局）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泰顺县人民政府办公室关于印发泰顺县农贸市场提档升级创星三年行动计划（2019-2021年）的通知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泰政办〔2019〕39号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县市场监督管理局（县知识产权局）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关于印发《泰顺县住户统计调查管理实施办法》的通知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泰政办[2018]55号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县统计局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关于印发泰顺县扬尘污染防治管理办法的通知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泰政办〔2012〕234号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温州市生态环境保护局泰顺分局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泰顺县人民政府关于划分泰顺县高污染燃料禁燃区范围的通告</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通告〔2019〕13号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温州市生态环境保护局泰顺分局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泰顺县人民政府办公室关于印发泰顺县打赢蓝天保卫战行动实施方案的通知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泰政办〔2019〕74号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温州市生态环境保护局泰顺分局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关于印发泰顺县突发公共事件预警信息发布实施办法的通知 </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泰政办[2015]113号 </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县气象局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"http://172.20.237.2/sys/oa/view_gw.aspx?powerid=809&amp;id=232543" \o "http://172.20.237.2/sys/oa/view_gw.aspx?powerid=809&amp;id=232543" </w:instrText>
            </w:r>
            <w:r>
              <w:fldChar w:fldCharType="separate"/>
            </w:r>
            <w:r>
              <w:rPr>
                <w:rFonts w:hint="eastAsia" w:ascii="仿宋" w:hAnsi="仿宋" w:eastAsia="仿宋" w:cs="仿宋"/>
                <w:color w:val="000000"/>
                <w:kern w:val="0"/>
                <w:sz w:val="24"/>
              </w:rPr>
              <w:t>关于印发泰顺县应对极端天气停课安排和误工处理实施意见的通知</w:t>
            </w:r>
            <w:r>
              <w:rPr>
                <w:rFonts w:hint="eastAsia" w:ascii="仿宋" w:hAnsi="仿宋" w:eastAsia="仿宋" w:cs="仿宋"/>
                <w:color w:val="000000"/>
                <w:kern w:val="0"/>
                <w:sz w:val="24"/>
              </w:rPr>
              <w:fldChar w:fldCharType="end"/>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泰政办[2017]68号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县气象局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关于印发泰顺县气象灾害应急准备工作认证管理办法的通知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泰政办〔2009〕167号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县气象局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rPr>
              <w:t>118</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关于印发《泰顺县承天氡泉省级自然保护区管理办法》的通知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泰政发〔2003〕73号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县氡管处</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119</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关于印发泰顺县总部经济园开发建设实施办法（试行）的通知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泰政发〔2012〕114号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县投资促进中心</w:t>
            </w:r>
          </w:p>
        </w:tc>
      </w:tr>
      <w:tr>
        <w:tblPrEx>
          <w:tblCellMar>
            <w:top w:w="0" w:type="dxa"/>
            <w:left w:w="0" w:type="dxa"/>
            <w:bottom w:w="0" w:type="dxa"/>
            <w:right w:w="0" w:type="dxa"/>
          </w:tblCellMar>
        </w:tblPrEx>
        <w:trPr>
          <w:trHeight w:val="709"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120</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关于印发泰顺县扶村到户扶贫资金管理办法 (试行）的通知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泰政办〔2008〕194号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县财政局（县国资办）</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121</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关于印发泰顺县避灾安置场所建设和管理暂行办法的通知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泰政办〔2010〕7号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122</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关于印发泰顺县企业安全生产诚信管理实施办法的通知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泰政办〔2011〕135号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123</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关于印发泰顺县安全生产网格化管理办法的通知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泰政办〔2013〕101号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124</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关于印发泰顺县安全生产重大事故隐患和违法行为举报奖励办法的通知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泰政办〔2009〕100号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125</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关于印发泰顺县生产安全事故报告和调查处理规定的通知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泰政办〔2008〕112号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126</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关于印发泰顺县安全生产事故隐患排查治理实施办法的通知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泰政办〔2009〕101号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r>
        <w:tblPrEx>
          <w:tblCellMar>
            <w:top w:w="0" w:type="dxa"/>
            <w:left w:w="0" w:type="dxa"/>
            <w:bottom w:w="0" w:type="dxa"/>
            <w:right w:w="0" w:type="dxa"/>
          </w:tblCellMar>
        </w:tblPrEx>
        <w:trPr>
          <w:trHeight w:val="283" w:hRule="atLeast"/>
        </w:trPr>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127</w:t>
            </w:r>
          </w:p>
        </w:tc>
        <w:tc>
          <w:tcPr>
            <w:tcW w:w="5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关于加强安全生产监管体系建设的实施意见</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泰政办〔2010〕22号</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县应急管理局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B2ED4"/>
    <w:rsid w:val="0C6B2E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2"/>
    <w:uiPriority w:val="0"/>
    <w:pPr>
      <w:jc w:val="center"/>
    </w:pPr>
    <w:rPr>
      <w:rFonts w:eastAsia="宋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2020-12-31T01:58:00Z</dcterms:created>
  <dc:creator>季月圆</dc:creator>
  <cp:lastModifiedBy>季月圆</cp:lastModifiedBy>
  <dcterms:modified xsi:type="dcterms:W3CDTF">2020-12-31T01:58:54Z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